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D10AC9">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bookmarkStart w:id="0" w:name="_GoBack"/>
            <w:bookmarkEnd w:id="0"/>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volta ai sensi degli artt.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w:t>
            </w:r>
            <w:r w:rsidR="00D10AC9">
              <w:rPr>
                <w:b/>
                <w:bCs/>
                <w:iCs/>
                <w:sz w:val="22"/>
                <w:szCs w:val="22"/>
                <w:lang w:val="it-IT" w:eastAsia="it-IT" w:bidi="it-IT"/>
              </w:rPr>
              <w:t xml:space="preserve">b), e 54 del </w:t>
            </w:r>
            <w:proofErr w:type="spellStart"/>
            <w:r w:rsidR="00D10AC9">
              <w:rPr>
                <w:b/>
                <w:bCs/>
                <w:iCs/>
                <w:sz w:val="22"/>
                <w:szCs w:val="22"/>
                <w:lang w:val="it-IT" w:eastAsia="it-IT" w:bidi="it-IT"/>
              </w:rPr>
              <w:t>D.Lgs.</w:t>
            </w:r>
            <w:proofErr w:type="spellEnd"/>
            <w:r w:rsidR="00D10AC9">
              <w:rPr>
                <w:b/>
                <w:bCs/>
                <w:iCs/>
                <w:sz w:val="22"/>
                <w:szCs w:val="22"/>
                <w:lang w:val="it-IT" w:eastAsia="it-IT" w:bidi="it-IT"/>
              </w:rPr>
              <w:t xml:space="preserve"> 50/2016 al</w:t>
            </w:r>
            <w:r w:rsidRPr="00F2503B">
              <w:rPr>
                <w:b/>
                <w:bCs/>
                <w:iCs/>
                <w:sz w:val="22"/>
                <w:szCs w:val="22"/>
                <w:lang w:val="it-IT" w:eastAsia="it-IT" w:bidi="it-IT"/>
              </w:rPr>
              <w:t xml:space="preserve">l’affidamento del </w:t>
            </w:r>
            <w:r w:rsidRPr="00F2503B">
              <w:rPr>
                <w:b/>
                <w:bCs/>
                <w:i/>
                <w:iCs/>
                <w:sz w:val="22"/>
                <w:szCs w:val="22"/>
                <w:lang w:val="it-IT" w:eastAsia="it-IT" w:bidi="it-IT"/>
              </w:rPr>
              <w:t>“Servizio di cassa”</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D10AC9">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00D756D9" w:rsidRPr="00F2503B">
        <w:rPr>
          <w:color w:val="FF0000"/>
          <w:sz w:val="22"/>
          <w:szCs w:val="22"/>
          <w:lang w:val="it-IT"/>
        </w:rPr>
        <w:t xml:space="preserve">, </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D10AC9"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D10AC9"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w:t>
      </w:r>
      <w:r w:rsidRPr="00F2503B">
        <w:rPr>
          <w:i/>
          <w:sz w:val="22"/>
          <w:szCs w:val="22"/>
          <w:lang w:val="it-IT"/>
        </w:rPr>
        <w:lastRenderedPageBreak/>
        <w:t xml:space="preserve">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D10AC9"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D10AC9"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D10AC9"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D10AC9"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D10AC9"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D10AC9"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 xml:space="preserve">condanna, pronunciata con sentenza definitiva o decreto penale di condanna divenuto irrevocabile o sentenza di applicazione </w:t>
      </w:r>
      <w:r w:rsidR="00905368" w:rsidRPr="00F2503B">
        <w:rPr>
          <w:sz w:val="22"/>
          <w:szCs w:val="22"/>
          <w:u w:val="single"/>
          <w:lang w:val="it-IT"/>
        </w:rPr>
        <w:lastRenderedPageBreak/>
        <w:t>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D10AC9"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 xml:space="preserve">e carica </w:t>
            </w:r>
            <w:r w:rsidRPr="00F2503B">
              <w:rPr>
                <w:b/>
                <w:sz w:val="22"/>
                <w:szCs w:val="22"/>
                <w:lang w:val="it-IT"/>
              </w:rPr>
              <w:lastRenderedPageBreak/>
              <w:t>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lastRenderedPageBreak/>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 xml:space="preserve">Durata della pena accessoria dell’incapacità di contrattare con la </w:t>
            </w:r>
            <w:r w:rsidRPr="00F2503B">
              <w:rPr>
                <w:b/>
                <w:sz w:val="22"/>
                <w:szCs w:val="22"/>
                <w:lang w:val="it-IT"/>
              </w:rPr>
              <w:lastRenderedPageBreak/>
              <w:t>pubblica amministrazione</w:t>
            </w:r>
          </w:p>
        </w:tc>
      </w:tr>
      <w:tr w:rsidR="002133D7" w:rsidRPr="00D10AC9"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D10AC9"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D10AC9"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D10AC9"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D10AC9"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D10AC9"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lastRenderedPageBreak/>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D10AC9"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lastRenderedPageBreak/>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D10AC9"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9"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10"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1" w:anchor="id=10LX0000604861ART35,__m=document" w:history="1">
        <w:r w:rsidRPr="00F2503B">
          <w:rPr>
            <w:sz w:val="22"/>
            <w:szCs w:val="22"/>
            <w:lang w:val="it-IT"/>
          </w:rPr>
          <w:t>14</w:t>
        </w:r>
      </w:hyperlink>
      <w:r w:rsidRPr="00F2503B">
        <w:rPr>
          <w:sz w:val="22"/>
          <w:szCs w:val="22"/>
          <w:lang w:val="it-IT"/>
        </w:rPr>
        <w:t xml:space="preserve"> del </w:t>
      </w:r>
      <w:hyperlink r:id="rId12"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lastRenderedPageBreak/>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3"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4"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5" w:anchor="id=10LX0000119983ART8,__m=document" w:history="1">
        <w:r w:rsidRPr="00F2503B">
          <w:rPr>
            <w:sz w:val="22"/>
            <w:szCs w:val="22"/>
            <w:lang w:val="it-IT"/>
          </w:rPr>
          <w:t>7</w:t>
        </w:r>
      </w:hyperlink>
      <w:r w:rsidRPr="00F2503B">
        <w:rPr>
          <w:sz w:val="22"/>
          <w:szCs w:val="22"/>
          <w:lang w:val="it-IT"/>
        </w:rPr>
        <w:t xml:space="preserve"> del </w:t>
      </w:r>
      <w:hyperlink r:id="rId16"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7"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8"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9"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D10AC9"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w:t>
      </w:r>
      <w:r w:rsidRPr="00F2503B">
        <w:rPr>
          <w:i/>
          <w:sz w:val="22"/>
          <w:szCs w:val="22"/>
          <w:lang w:val="it-IT"/>
        </w:rPr>
        <w:lastRenderedPageBreak/>
        <w:t xml:space="preserve">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lastRenderedPageBreak/>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D845FA" w:rsidP="00C1464C">
      <w:pPr>
        <w:spacing w:after="120"/>
        <w:ind w:firstLine="351"/>
        <w:jc w:val="both"/>
        <w:rPr>
          <w:b/>
          <w:color w:val="000000"/>
          <w:sz w:val="22"/>
          <w:szCs w:val="22"/>
          <w:lang w:val="it-IT"/>
        </w:rPr>
      </w:pPr>
      <w:r w:rsidRPr="00F2503B">
        <w:rPr>
          <w:b/>
          <w:color w:val="000000"/>
          <w:sz w:val="22"/>
          <w:szCs w:val="22"/>
          <w:lang w:val="it-IT"/>
        </w:rPr>
        <w:t xml:space="preserve"> </w:t>
      </w:r>
      <w:r w:rsidR="00A621A0" w:rsidRPr="00F2503B">
        <w:rPr>
          <w:b/>
          <w:color w:val="000000"/>
          <w:sz w:val="22"/>
          <w:szCs w:val="22"/>
          <w:lang w:val="it-IT"/>
        </w:rPr>
        <w:t>[</w:t>
      </w:r>
      <w:r w:rsidR="00A621A0" w:rsidRPr="00F2503B">
        <w:rPr>
          <w:b/>
          <w:i/>
          <w:color w:val="000000"/>
          <w:sz w:val="22"/>
          <w:szCs w:val="22"/>
          <w:lang w:val="it-IT"/>
        </w:rPr>
        <w:t>clausole a selezione alternativa</w:t>
      </w:r>
      <w:r w:rsidR="00A621A0"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lastRenderedPageBreak/>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lastRenderedPageBreak/>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w:t>
      </w:r>
      <w:r w:rsidR="00FF76B5" w:rsidRPr="00F2503B">
        <w:rPr>
          <w:sz w:val="22"/>
          <w:szCs w:val="22"/>
          <w:lang w:val="it-IT"/>
        </w:rPr>
        <w:lastRenderedPageBreak/>
        <w:t xml:space="preserve">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lastRenderedPageBreak/>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64" w:rsidRDefault="00B27F64">
      <w:r>
        <w:separator/>
      </w:r>
    </w:p>
  </w:endnote>
  <w:endnote w:type="continuationSeparator" w:id="0">
    <w:p w:rsidR="00B27F64" w:rsidRDefault="00B2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9" w:rsidRDefault="00D10AC9"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D10AC9" w:rsidRDefault="00D10AC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9" w:rsidRPr="001058CD" w:rsidRDefault="00D10AC9"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8F5AFF">
      <w:rPr>
        <w:rStyle w:val="Numeropagina"/>
        <w:rFonts w:ascii="Verdana" w:hAnsi="Verdana"/>
        <w:noProof/>
        <w:sz w:val="16"/>
        <w:szCs w:val="16"/>
      </w:rPr>
      <w:t>6</w:t>
    </w:r>
    <w:r w:rsidRPr="001058CD">
      <w:rPr>
        <w:rStyle w:val="Numeropagina"/>
        <w:rFonts w:ascii="Verdana" w:hAnsi="Verdana"/>
        <w:sz w:val="16"/>
        <w:szCs w:val="16"/>
      </w:rPr>
      <w:fldChar w:fldCharType="end"/>
    </w:r>
  </w:p>
  <w:p w:rsidR="00D10AC9" w:rsidRPr="00675E40" w:rsidRDefault="00D10AC9" w:rsidP="00F625ED">
    <w:pPr>
      <w:pStyle w:val="Pidipagina"/>
      <w:ind w:right="360"/>
      <w:rPr>
        <w:smallCaps/>
        <w:sz w:val="8"/>
        <w:szCs w:val="16"/>
        <w:lang w:val="it-IT"/>
      </w:rPr>
    </w:pPr>
  </w:p>
  <w:p w:rsidR="00D10AC9" w:rsidRPr="00242DE7" w:rsidRDefault="00D10AC9">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64" w:rsidRDefault="00B27F64">
      <w:r>
        <w:separator/>
      </w:r>
    </w:p>
  </w:footnote>
  <w:footnote w:type="continuationSeparator" w:id="0">
    <w:p w:rsidR="00B27F64" w:rsidRDefault="00B27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9" w:rsidRPr="002A6576" w:rsidRDefault="00D10AC9" w:rsidP="00DB16C8">
    <w:pPr>
      <w:pStyle w:val="Intestazione"/>
      <w:jc w:val="center"/>
      <w:rPr>
        <w:i/>
        <w:sz w:val="16"/>
        <w:szCs w:val="16"/>
        <w:lang w:bidi="it-IT"/>
      </w:rPr>
    </w:pPr>
  </w:p>
  <w:p w:rsidR="00D10AC9" w:rsidRPr="002A6576" w:rsidRDefault="00D10AC9" w:rsidP="00310024">
    <w:pPr>
      <w:pStyle w:val="INPS052headint"/>
      <w:jc w:val="center"/>
      <w:rPr>
        <w:rFonts w:ascii="Times New Roman" w:hAnsi="Times New Roman"/>
        <w:i/>
      </w:rPr>
    </w:pPr>
    <w:r w:rsidRPr="002A6576">
      <w:rPr>
        <w:rFonts w:ascii="Times New Roman" w:eastAsia="Calibri" w:hAnsi="Times New Roman"/>
        <w:bCs w:val="0"/>
        <w:i/>
        <w:szCs w:val="20"/>
        <w:lang w:bidi="it-IT"/>
      </w:rPr>
      <w:t xml:space="preserve">Procedura negoziata di importo inferiore alla soglia comunitaria, volta ai sensi degli artt. 36, comma 2, </w:t>
    </w:r>
    <w:proofErr w:type="spellStart"/>
    <w:r w:rsidRPr="002A6576">
      <w:rPr>
        <w:rFonts w:ascii="Times New Roman" w:eastAsia="Calibri" w:hAnsi="Times New Roman"/>
        <w:bCs w:val="0"/>
        <w:i/>
        <w:szCs w:val="20"/>
        <w:lang w:bidi="it-IT"/>
      </w:rPr>
      <w:t>lett</w:t>
    </w:r>
    <w:proofErr w:type="spellEnd"/>
    <w:r w:rsidRPr="002A6576">
      <w:rPr>
        <w:rFonts w:ascii="Times New Roman" w:eastAsia="Calibri" w:hAnsi="Times New Roman"/>
        <w:bCs w:val="0"/>
        <w:i/>
        <w:szCs w:val="20"/>
        <w:lang w:bidi="it-IT"/>
      </w:rPr>
      <w:t xml:space="preserve">. b), e 54 del </w:t>
    </w:r>
    <w:proofErr w:type="spellStart"/>
    <w:r w:rsidRPr="002A6576">
      <w:rPr>
        <w:rFonts w:ascii="Times New Roman" w:eastAsia="Calibri" w:hAnsi="Times New Roman"/>
        <w:bCs w:val="0"/>
        <w:i/>
        <w:szCs w:val="20"/>
        <w:lang w:bidi="it-IT"/>
      </w:rPr>
      <w:t>D.Lgs.</w:t>
    </w:r>
    <w:proofErr w:type="spellEnd"/>
    <w:r>
      <w:rPr>
        <w:rFonts w:ascii="Times New Roman" w:eastAsia="Calibri" w:hAnsi="Times New Roman"/>
        <w:bCs w:val="0"/>
        <w:i/>
        <w:szCs w:val="20"/>
        <w:lang w:bidi="it-IT"/>
      </w:rPr>
      <w:t xml:space="preserve"> 50/2016, , al</w:t>
    </w:r>
    <w:r w:rsidRPr="002A6576">
      <w:rPr>
        <w:rFonts w:ascii="Times New Roman" w:eastAsia="Calibri" w:hAnsi="Times New Roman"/>
        <w:bCs w:val="0"/>
        <w:i/>
        <w:szCs w:val="20"/>
        <w:lang w:bidi="it-IT"/>
      </w:rPr>
      <w:t>l’af</w:t>
    </w:r>
    <w:r>
      <w:rPr>
        <w:rFonts w:ascii="Times New Roman" w:eastAsia="Calibri" w:hAnsi="Times New Roman"/>
        <w:bCs w:val="0"/>
        <w:i/>
        <w:szCs w:val="20"/>
        <w:lang w:bidi="it-IT"/>
      </w:rPr>
      <w:t>fidamento del “Servizio di cassa</w:t>
    </w:r>
    <w:r w:rsidRPr="002A6576">
      <w:rPr>
        <w:rFonts w:ascii="Times New Roman" w:eastAsia="Calibri" w:hAnsi="Times New Roman"/>
        <w:bCs w:val="0"/>
        <w:i/>
        <w:szCs w:val="20"/>
        <w:lang w:bidi="it-IT"/>
      </w:rPr>
      <w:t>”</w:t>
    </w:r>
  </w:p>
  <w:p w:rsidR="00D10AC9" w:rsidRPr="00366CD3" w:rsidRDefault="00D10AC9"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E6DEC"/>
    <w:rsid w:val="008F0560"/>
    <w:rsid w:val="008F0B02"/>
    <w:rsid w:val="008F0E9A"/>
    <w:rsid w:val="008F2D80"/>
    <w:rsid w:val="008F323E"/>
    <w:rsid w:val="008F453E"/>
    <w:rsid w:val="008F57AA"/>
    <w:rsid w:val="008F5AFF"/>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27F64"/>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AC9"/>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5FA"/>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8327-8303-4F87-B682-E1C86477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8673</Words>
  <Characters>49439</Characters>
  <Application>Microsoft Office Word</Application>
  <DocSecurity>0</DocSecurity>
  <Lines>411</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57997</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2018-12-06T12:49:00Z</dcterms:modified>
</cp:coreProperties>
</file>